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1ADF" w14:textId="77777777" w:rsidR="000533EE" w:rsidRDefault="000533EE" w:rsidP="000533EE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 10/2022. (XII. 9.) önkormányzati rendelethez</w:t>
      </w:r>
      <w:r>
        <w:rPr>
          <w:rStyle w:val="FootnoteAnchor"/>
          <w:u w:val="single"/>
        </w:rPr>
        <w:footnoteReference w:id="1"/>
      </w:r>
    </w:p>
    <w:p w14:paraId="12CAB5F4" w14:textId="77777777" w:rsidR="000533EE" w:rsidRDefault="000533EE" w:rsidP="000533E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önkormányzati képviselő és a vele közös háztartásban élő hozzátartozója vagyonnyilatkozatának nyilvántartási szabályai</w:t>
      </w:r>
    </w:p>
    <w:p w14:paraId="05B31C6C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A vagyonnyilatkozatok benyújtása, átvétele</w:t>
      </w:r>
    </w:p>
    <w:p w14:paraId="4356195A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1.1. A vagyonnyilatkozatokat a Veszprém Vármegyei Önkormányzat Szervezeti és Működési Szabályzatáról szóló 10/2022. (XII. 9) önkormányzati rendelet 5. melléklet 1.2.10 pontjában kapott felhatalmazás alapján az Ügyrendi Bizottság tartja nyilván és gondoskodik azok törvényben meghatározott őrzéséről.</w:t>
      </w:r>
    </w:p>
    <w:p w14:paraId="59175B6C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1.2. A kitöltéskori állapotnak megfelelő adatokat tartalmazó képviselői és hozzátartozói vagyonnyilatkozatokat két-két példányban kell a bizottság elnökének benyújtani – a vonatkozó jogszabályban előírt határidőn belül –, melyből egy-egy példány az átvevő aláírásával ellátva visszaadásra kerül.</w:t>
      </w:r>
    </w:p>
    <w:p w14:paraId="701B343E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1.3. A vagyonnyilatkozatokat az azok őrzésével és a nyilvántartással kapcsolatos adminisztrációs feladatok ellátásával a Veszprém Vármegyei Önkormányzati Hivatal e célra – a bizottság elnökének egyetértésével – kijelölt köztisztviselője veszi át és igazolást állít ki az átvételről.</w:t>
      </w:r>
    </w:p>
    <w:p w14:paraId="5EB031F2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1.3.1. A képviselői vagyonnyilatkozat átvétele a névvel ellátott (vagyonnyilatkozatokat kezelő bizottság példánya megnevezésű) nyitott borítékban történik.</w:t>
      </w:r>
    </w:p>
    <w:p w14:paraId="287901D5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1.3.2. A hozzátartozói vagyonnyilatkozat átvétele a névvel ellátott lezárt (vagyonnyilatkozatokat kezelő bizottság példánya megnevezésű) a vagyonnyilatkozatra kötelezett képviselő aláírásával, a bizottság elnökének egyetértésével kijelölt köztisztviselője által lepecsételt borítékban történik.</w:t>
      </w:r>
    </w:p>
    <w:p w14:paraId="454817F4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A vagyonnyilatkozatok kezelése, nyilvántartása</w:t>
      </w:r>
    </w:p>
    <w:p w14:paraId="79CBC1BB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2.1. A képviselői és hozzátartozói vagyonnyilatkozatok őrzése a vármegyei jegyző által kijelölt helyiségben az egyéb iratoktól elkülönítetten lemezszekrényben külön erre a célra kialakított részben történik. Ezen lemezszekrényrészt az őrzés biztonságossága érdekében két kulccsal kell ellátni, melyből az egyiket a bizottság elnöke, a másikat a kijelölt köztisztviselő őrzi. Ezen kulcsok egy-egy másolati példányait lezárt borítékban a hivatal pénztárhelyiségében lévő páncélszekrényben kell őrizni.</w:t>
      </w:r>
    </w:p>
    <w:p w14:paraId="18D417D3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2.2. A vagyonnyilatkozatokról a bizottság nyilvántartást vezet oly módon, melyből megállapítható nyilatkozattevőként külön-külön a vagyonnyilatkozatok leadásának, lezárásának pontos időpontja, a vagyonnyilatkozatok felnyitásának ténye, időpontja, oka és a vagyonnyilatkozatokba betekintő személye.</w:t>
      </w:r>
    </w:p>
    <w:p w14:paraId="1BA2BAEB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2.3. A vagyonnyilatkozat nyilvánossága:</w:t>
      </w:r>
    </w:p>
    <w:p w14:paraId="4CE984DD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2.3.1. A képviselői vagyonnyilatkozat nyilvános (kivéve az ellenőrzéshez szolgáltatott azonosító adatok)</w:t>
      </w:r>
    </w:p>
    <w:p w14:paraId="359AF4AB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lastRenderedPageBreak/>
        <w:t>2.3.2. A hozzátartozói vagyonnyilatkozat nem nyilvános, abba csak a bizottság tagjai tekinthetnek be ellenőrzés céljából.</w:t>
      </w:r>
    </w:p>
    <w:p w14:paraId="14A90A8F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2.4. A képviselői vagyonnyilatkozatokat a Veszprém Vármegyei Önkormányzati Hivatal arra kijelölt helyiségében – hivatali munkaidő alatt – bárki megtekintheti.</w:t>
      </w:r>
    </w:p>
    <w:p w14:paraId="3406B989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2.5. A bizottság felel azért, hogy a vagyonnyilatkozatokat az adatvédelmi szabályoknak megfelelően őrizzék, kezeljék, és hogy az azokban foglaltakat – a nyilvános vagyonnyilatkozatok kivételével – más ne ismerhesse meg.</w:t>
      </w:r>
    </w:p>
    <w:p w14:paraId="01088F58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b/>
          <w:bCs/>
        </w:rPr>
        <w:t>Ellenőrzési eljárás</w:t>
      </w:r>
    </w:p>
    <w:p w14:paraId="406FDCE3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3.1. A képviselői és hozzátartozói vagyonnyilatkozatokat a bizottság ellenőrzi.</w:t>
      </w:r>
    </w:p>
    <w:p w14:paraId="1E79D9F8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3.2. Az ellenőrzési eljárást a bizottságnál bárki írásban kezdeményezheti.</w:t>
      </w:r>
    </w:p>
    <w:p w14:paraId="43ABB471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3.3. A bizottság eljárására a közgyűlés zárt ülésére vonatkozó szabályait kell alkalmazni.</w:t>
      </w:r>
    </w:p>
    <w:p w14:paraId="2D36397B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3.4. Az ellenőrzési eljárás lefolytatásának a vagyonnyilatkozat konkrét tartalmára vonatkozó tényállítás esetén van helye. A képviselő hozzátartozója vagyonnyilatkozatának felbontásához a bizottság határozata szükséges. A képviselő hozzátartozója vagyonnyilatkozatának felbontását követően a vagyonnyilatkozatot tartalmazó boríték lezárását a bizottság elnöke igazolja aláírásával. Ha a képviselő hozzátartozója vagyonnyilatkozatának felbontását a nyilatkozattevő vagy az érintett képviselő kérte, a boríték ismételt lezárását a felbontást kérő igazolja aláírásával.</w:t>
      </w:r>
    </w:p>
    <w:p w14:paraId="1447E2C7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3.5. Ha az eljárásra irányuló kezdeményezést nem jelöli meg konkrétan a vagyonnyilatkozat kifogásolt részét és tartalmát a bizottság elnöke felhívja a kezdeményezőt a hiány pótlására.</w:t>
      </w:r>
    </w:p>
    <w:p w14:paraId="24D39D86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3.6. Ha a kezdeményező 15 napon belül nem tesz eleget a felhívásnak, vagy ha a kezdeményezés nyilvánvalóan alaptalan, a bizottság az eljárás lefolytatása nélkül elutasítja a kezdeményezést.</w:t>
      </w:r>
    </w:p>
    <w:p w14:paraId="654EDE1E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3.7. A bizottság a kezdeményezés érdemi vizsgálata esetén a képviselőt, illetve hozzátartozóját felszólítja a vagyonnyilatkozatban feltüntetett adatokra vonatkozó azonosító adatok 8 napon belüli írásban történő bejelentésére. Ezeket az azonosító adatokat csak a bizottság tagjai ismerhetik meg, ezeket az eljárás lezárását követő 8 napon belül törölni kell.</w:t>
      </w:r>
    </w:p>
    <w:p w14:paraId="1DAC06D5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3.8. Az ellenőrzési eljárás eredményéről a bizottság a közgyűlés soron következő ülésén tájékoztatást ad.</w:t>
      </w:r>
    </w:p>
    <w:p w14:paraId="6B8EDC5D" w14:textId="77777777" w:rsidR="000533EE" w:rsidRDefault="000533EE" w:rsidP="000533EE">
      <w:pPr>
        <w:pStyle w:val="Szvegtrzs"/>
        <w:spacing w:before="220" w:after="0" w:line="240" w:lineRule="auto"/>
        <w:jc w:val="both"/>
      </w:pPr>
      <w:r>
        <w:t>3.9. Az ellenőrzési eljárás megismétlésének ugyanazon vagyonnyilatkozat esetében csak akkor van helye, ha az erre irányuló kezdeményezés új tényállást (adatot) tartalmaz. Az ellenőrzési eljárásra irányuló új tényállítás nélkül ismételt kezdeményezést a bizottság az eljárás lefolytatása nélkül elutasítja.</w:t>
      </w:r>
    </w:p>
    <w:p w14:paraId="62A8C475" w14:textId="06158004" w:rsidR="000533EE" w:rsidRDefault="000533EE" w:rsidP="000533EE">
      <w:pPr>
        <w:pStyle w:val="Szvegtrzs"/>
        <w:spacing w:before="220" w:after="0" w:line="240" w:lineRule="auto"/>
        <w:jc w:val="both"/>
      </w:pPr>
      <w:r>
        <w:t>3.10. A bizottság eljárása során köteles betartani és betartatni az információs önrendelkezési jogról és az információszabadságról szóló 2011. évi CXII. törvény előírását.</w:t>
      </w:r>
    </w:p>
    <w:p w14:paraId="4B476E16" w14:textId="77777777" w:rsidR="008F18C6" w:rsidRDefault="008F18C6"/>
    <w:sectPr w:rsidR="008F18C6" w:rsidSect="000533E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3901" w14:textId="77777777" w:rsidR="004A6D3B" w:rsidRDefault="004A6D3B" w:rsidP="000533EE">
      <w:pPr>
        <w:spacing w:after="0" w:line="240" w:lineRule="auto"/>
      </w:pPr>
      <w:r>
        <w:separator/>
      </w:r>
    </w:p>
  </w:endnote>
  <w:endnote w:type="continuationSeparator" w:id="0">
    <w:p w14:paraId="6AC51A16" w14:textId="77777777" w:rsidR="004A6D3B" w:rsidRDefault="004A6D3B" w:rsidP="0005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2E3C" w14:textId="77777777" w:rsidR="004A6D3B" w:rsidRDefault="004A6D3B" w:rsidP="000533EE">
      <w:pPr>
        <w:spacing w:after="0" w:line="240" w:lineRule="auto"/>
      </w:pPr>
      <w:r>
        <w:separator/>
      </w:r>
    </w:p>
  </w:footnote>
  <w:footnote w:type="continuationSeparator" w:id="0">
    <w:p w14:paraId="3874B71D" w14:textId="77777777" w:rsidR="004A6D3B" w:rsidRDefault="004A6D3B" w:rsidP="000533EE">
      <w:pPr>
        <w:spacing w:after="0" w:line="240" w:lineRule="auto"/>
      </w:pPr>
      <w:r>
        <w:continuationSeparator/>
      </w:r>
    </w:p>
  </w:footnote>
  <w:footnote w:id="1">
    <w:p w14:paraId="7F85B343" w14:textId="77777777" w:rsidR="000533EE" w:rsidRDefault="000533EE" w:rsidP="000533EE">
      <w:pPr>
        <w:pStyle w:val="Lbjegyzetszveg"/>
        <w:jc w:val="both"/>
      </w:pPr>
      <w:r>
        <w:rPr>
          <w:rStyle w:val="FootnoteCharacters"/>
        </w:rPr>
        <w:footnoteRef/>
      </w:r>
      <w:r>
        <w:tab/>
        <w:t>A 8. melléklet a Veszprém Vármegyei Önkormányzat Közgyűlésének 14/2024. (X. 10.) önkormányzati rendelete 11. § (2) bekezdésével megállapított szöveg. A 8. melléklet a Veszprém Vármegyei Önkormányzat Közgyűlésének 16/2024. (XI. 28.) önkormányzati rendelete 13. § (7) bekezdésével megállapított szöveg.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4A6D3B"/>
    <w:rsid w:val="008B5910"/>
    <w:rsid w:val="008F18C6"/>
    <w:rsid w:val="00993A37"/>
    <w:rsid w:val="00A419C9"/>
    <w:rsid w:val="00E4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F61A"/>
  <w15:chartTrackingRefBased/>
  <w15:docId w15:val="{94E40BA9-68AB-4F5F-A611-851E65F7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53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3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3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3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3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3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3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3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3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3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3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3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33E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33E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33E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33E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33E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33E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3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3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3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3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3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33E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33E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33E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3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33E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33EE"/>
    <w:rPr>
      <w:b/>
      <w:bCs/>
      <w:smallCaps/>
      <w:color w:val="2F5496" w:themeColor="accent1" w:themeShade="BF"/>
      <w:spacing w:val="5"/>
    </w:rPr>
  </w:style>
  <w:style w:type="character" w:customStyle="1" w:styleId="FootnoteCharacters">
    <w:name w:val="Footnote Characters"/>
    <w:qFormat/>
    <w:rsid w:val="000533EE"/>
  </w:style>
  <w:style w:type="character" w:customStyle="1" w:styleId="FootnoteAnchor">
    <w:name w:val="Footnote Anchor"/>
    <w:rsid w:val="000533EE"/>
    <w:rPr>
      <w:vertAlign w:val="superscript"/>
    </w:rPr>
  </w:style>
  <w:style w:type="paragraph" w:styleId="Szvegtrzs">
    <w:name w:val="Body Text"/>
    <w:basedOn w:val="Norml"/>
    <w:link w:val="SzvegtrzsChar"/>
    <w:rsid w:val="000533EE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0533EE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rsid w:val="000533EE"/>
    <w:pPr>
      <w:suppressLineNumbers/>
      <w:suppressAutoHyphens/>
      <w:spacing w:after="0" w:line="240" w:lineRule="auto"/>
      <w:ind w:left="339" w:hanging="339"/>
    </w:pPr>
    <w:rPr>
      <w:rFonts w:ascii="Times New Roman" w:eastAsia="Noto Sans CJK SC Regular" w:hAnsi="Times New Roman" w:cs="FreeSans"/>
      <w:sz w:val="20"/>
      <w:szCs w:val="20"/>
      <w:lang w:eastAsia="zh-CN" w:bidi="hi-IN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rsid w:val="000533EE"/>
    <w:rPr>
      <w:rFonts w:ascii="Times New Roman" w:eastAsia="Noto Sans CJK SC Regular" w:hAnsi="Times New Roman" w:cs="FreeSans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Halmi-Tóth Mónika</dc:creator>
  <cp:keywords/>
  <dc:description/>
  <cp:lastModifiedBy>Cseh György</cp:lastModifiedBy>
  <cp:revision>2</cp:revision>
  <dcterms:created xsi:type="dcterms:W3CDTF">2025-12-10T14:35:00Z</dcterms:created>
  <dcterms:modified xsi:type="dcterms:W3CDTF">2025-12-10T14:35:00Z</dcterms:modified>
</cp:coreProperties>
</file>